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</w:t>
      </w:r>
      <w:proofErr w:type="gramStart"/>
      <w:r w:rsidR="00B46C9B">
        <w:rPr>
          <w:b/>
          <w:iCs/>
          <w:sz w:val="22"/>
          <w:szCs w:val="22"/>
        </w:rPr>
        <w:t>S</w:t>
      </w:r>
      <w:r w:rsidR="00C038C1">
        <w:rPr>
          <w:b/>
          <w:iCs/>
          <w:sz w:val="22"/>
          <w:szCs w:val="22"/>
        </w:rPr>
        <w:t xml:space="preserve">okolov,  </w:t>
      </w:r>
      <w:r w:rsidR="008D640C">
        <w:rPr>
          <w:b/>
          <w:iCs/>
          <w:sz w:val="22"/>
          <w:szCs w:val="22"/>
        </w:rPr>
        <w:t>Marie</w:t>
      </w:r>
      <w:proofErr w:type="gramEnd"/>
      <w:r w:rsidR="008D640C">
        <w:rPr>
          <w:b/>
          <w:iCs/>
          <w:sz w:val="22"/>
          <w:szCs w:val="22"/>
        </w:rPr>
        <w:t xml:space="preserve"> Majerové 1650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8D640C">
        <w:rPr>
          <w:iCs/>
          <w:sz w:val="22"/>
          <w:szCs w:val="22"/>
        </w:rPr>
        <w:t xml:space="preserve"> Marie Majerové 1650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8D640C">
        <w:rPr>
          <w:iCs/>
          <w:sz w:val="22"/>
          <w:szCs w:val="22"/>
        </w:rPr>
        <w:t>60611685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8D640C">
        <w:rPr>
          <w:iCs/>
          <w:sz w:val="22"/>
          <w:szCs w:val="22"/>
        </w:rPr>
        <w:t xml:space="preserve"> Jitkou Podlipskou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C038C1">
        <w:rPr>
          <w:iCs/>
          <w:sz w:val="22"/>
          <w:szCs w:val="22"/>
        </w:rPr>
        <w:t xml:space="preserve"> Česká spořitelna</w:t>
      </w:r>
      <w:r w:rsidR="00DD376C">
        <w:rPr>
          <w:iCs/>
          <w:sz w:val="22"/>
          <w:szCs w:val="22"/>
        </w:rPr>
        <w:t>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8D640C">
        <w:rPr>
          <w:sz w:val="22"/>
          <w:szCs w:val="22"/>
        </w:rPr>
        <w:t xml:space="preserve"> </w:t>
      </w:r>
      <w:r w:rsidR="008D640C" w:rsidRPr="008D640C">
        <w:rPr>
          <w:sz w:val="22"/>
          <w:szCs w:val="22"/>
        </w:rPr>
        <w:t>862737399/0800</w:t>
      </w:r>
      <w:r w:rsidRPr="008D640C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624503901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62450390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se </w:t>
      </w:r>
      <w:proofErr w:type="gramStart"/>
      <w:r w:rsidRPr="007701D6">
        <w:rPr>
          <w:color w:val="auto"/>
          <w:sz w:val="22"/>
          <w:szCs w:val="22"/>
        </w:rPr>
        <w:t>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6673586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6735861"/>
      <w:r w:rsidR="002B57B4" w:rsidRPr="007701D6">
        <w:rPr>
          <w:color w:val="auto"/>
          <w:sz w:val="22"/>
          <w:szCs w:val="22"/>
        </w:rPr>
        <w:t>,</w:t>
      </w:r>
      <w:proofErr w:type="gramEnd"/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96635244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6635244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proofErr w:type="gramStart"/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4059576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05957619"/>
      <w:r w:rsidR="002B57B4" w:rsidRPr="007701D6">
        <w:rPr>
          <w:color w:val="auto"/>
          <w:sz w:val="22"/>
          <w:szCs w:val="22"/>
        </w:rPr>
        <w:t>,</w:t>
      </w:r>
      <w:proofErr w:type="gramEnd"/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</w:t>
      </w:r>
      <w:proofErr w:type="gramStart"/>
      <w:r w:rsidRPr="007701D6">
        <w:rPr>
          <w:color w:val="auto"/>
          <w:sz w:val="22"/>
          <w:szCs w:val="22"/>
        </w:rPr>
        <w:t xml:space="preserve">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5100054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51000542"/>
      <w:r w:rsidRPr="007701D6">
        <w:rPr>
          <w:color w:val="auto"/>
          <w:sz w:val="22"/>
          <w:szCs w:val="22"/>
        </w:rPr>
        <w:t>,</w:t>
      </w:r>
      <w:proofErr w:type="gramEnd"/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</w:t>
      </w:r>
      <w:proofErr w:type="gramStart"/>
      <w:r w:rsidRPr="007701D6">
        <w:rPr>
          <w:color w:val="auto"/>
          <w:sz w:val="22"/>
          <w:szCs w:val="22"/>
        </w:rPr>
        <w:t xml:space="preserve">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397911004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397911004"/>
      <w:r w:rsidRPr="007701D6">
        <w:rPr>
          <w:color w:val="auto"/>
          <w:sz w:val="22"/>
          <w:szCs w:val="22"/>
        </w:rPr>
        <w:t>,</w:t>
      </w:r>
      <w:proofErr w:type="gramEnd"/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7609563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60956319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209415201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94152010"/>
      <w:r w:rsidRPr="007701D6">
        <w:rPr>
          <w:color w:val="auto"/>
          <w:sz w:val="22"/>
          <w:szCs w:val="22"/>
        </w:rPr>
        <w:t xml:space="preserve">, </w:t>
      </w:r>
      <w:proofErr w:type="gramStart"/>
      <w:r w:rsidRPr="007701D6">
        <w:rPr>
          <w:color w:val="auto"/>
          <w:sz w:val="22"/>
          <w:szCs w:val="22"/>
        </w:rPr>
        <w:t xml:space="preserve">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41087851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410878510"/>
      <w:r w:rsidR="002B57B4" w:rsidRPr="007701D6">
        <w:rPr>
          <w:color w:val="auto"/>
          <w:sz w:val="22"/>
          <w:szCs w:val="22"/>
        </w:rPr>
        <w:t>,</w:t>
      </w:r>
      <w:proofErr w:type="gramEnd"/>
      <w:r w:rsidR="002B57B4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</w:t>
      </w:r>
      <w:proofErr w:type="gramStart"/>
      <w:r w:rsidRPr="007701D6">
        <w:rPr>
          <w:rFonts w:ascii="Times New Roman" w:hAnsi="Times New Roman"/>
          <w:sz w:val="22"/>
          <w:szCs w:val="22"/>
        </w:rPr>
        <w:t>údajů) (dále</w:t>
      </w:r>
      <w:proofErr w:type="gramEnd"/>
      <w:r w:rsidRPr="007701D6">
        <w:rPr>
          <w:rFonts w:ascii="Times New Roman" w:hAnsi="Times New Roman"/>
          <w:sz w:val="22"/>
          <w:szCs w:val="22"/>
        </w:rPr>
        <w:t xml:space="preserve">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</w:t>
      </w:r>
      <w:proofErr w:type="gramStart"/>
      <w:r w:rsidRPr="007701D6">
        <w:rPr>
          <w:rFonts w:ascii="Times New Roman" w:hAnsi="Times New Roman"/>
          <w:sz w:val="22"/>
          <w:szCs w:val="22"/>
        </w:rPr>
        <w:t xml:space="preserve">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053249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0532493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</w:t>
      </w:r>
      <w:proofErr w:type="gramEnd"/>
      <w:r w:rsidRPr="007701D6">
        <w:rPr>
          <w:rFonts w:ascii="Times New Roman" w:hAnsi="Times New Roman"/>
          <w:sz w:val="22"/>
          <w:szCs w:val="22"/>
        </w:rPr>
        <w:t xml:space="preserve">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00082449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0082449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proofErr w:type="gramStart"/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3075375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3075375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</w:t>
      </w:r>
      <w:proofErr w:type="gramEnd"/>
      <w:r w:rsidR="00DC74A7" w:rsidRPr="007701D6">
        <w:rPr>
          <w:rFonts w:ascii="Times New Roman" w:hAnsi="Times New Roman"/>
          <w:sz w:val="22"/>
          <w:szCs w:val="22"/>
        </w:rPr>
        <w:t xml:space="preserve">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83250745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83250745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80402618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80402618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</w:t>
      </w:r>
      <w:proofErr w:type="gramStart"/>
      <w:r w:rsidR="00C8307C" w:rsidRPr="00F618F1">
        <w:rPr>
          <w:rFonts w:ascii="Times New Roman" w:hAnsi="Times New Roman"/>
          <w:sz w:val="22"/>
          <w:szCs w:val="22"/>
        </w:rPr>
        <w:t xml:space="preserve">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634941878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634941878"/>
      <w:r w:rsidR="000952AB" w:rsidRPr="00F618F1">
        <w:rPr>
          <w:rFonts w:ascii="Times New Roman" w:hAnsi="Times New Roman"/>
          <w:sz w:val="22"/>
          <w:szCs w:val="22"/>
        </w:rPr>
        <w:t xml:space="preserve"> Kč</w:t>
      </w:r>
      <w:proofErr w:type="gramEnd"/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2191733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21917334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</w:t>
      </w:r>
      <w:proofErr w:type="gramStart"/>
      <w:r w:rsidR="00F274EA" w:rsidRPr="00CA30BD">
        <w:rPr>
          <w:rFonts w:ascii="Times New Roman" w:hAnsi="Times New Roman" w:cs="Times New Roman"/>
          <w:sz w:val="22"/>
          <w:szCs w:val="22"/>
        </w:rPr>
        <w:t>…..cz</w:t>
      </w:r>
      <w:proofErr w:type="gramEnd"/>
      <w:r w:rsidR="00F274EA" w:rsidRPr="00CA30BD">
        <w:rPr>
          <w:rFonts w:ascii="Times New Roman" w:hAnsi="Times New Roman" w:cs="Times New Roman"/>
          <w:sz w:val="22"/>
          <w:szCs w:val="22"/>
        </w:rPr>
        <w:t>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020135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0201353"/>
      <w:r w:rsidRPr="007701D6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7701D6">
        <w:rPr>
          <w:rFonts w:ascii="Times New Roman" w:hAnsi="Times New Roman" w:cs="Times New Roman"/>
          <w:sz w:val="22"/>
          <w:szCs w:val="22"/>
        </w:rPr>
        <w:t xml:space="preserve">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387566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38756602"/>
      <w:r w:rsidRPr="007701D6">
        <w:rPr>
          <w:rFonts w:ascii="Times New Roman" w:hAnsi="Times New Roman" w:cs="Times New Roman"/>
          <w:sz w:val="22"/>
          <w:szCs w:val="22"/>
        </w:rPr>
        <w:t>, e-mail</w:t>
      </w:r>
      <w:proofErr w:type="gramEnd"/>
      <w:r w:rsidRPr="007701D6">
        <w:rPr>
          <w:rFonts w:ascii="Times New Roman" w:hAnsi="Times New Roman" w:cs="Times New Roman"/>
          <w:sz w:val="22"/>
          <w:szCs w:val="22"/>
        </w:rPr>
        <w:t xml:space="preserve">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9217453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92174535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064193200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064193200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8D640C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Jitka Podlipská</w:t>
      </w:r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          </w:t>
      </w:r>
      <w:r w:rsidR="00C038C1">
        <w:rPr>
          <w:rFonts w:ascii="Times New Roman" w:hAnsi="Times New Roman"/>
          <w:sz w:val="22"/>
          <w:szCs w:val="22"/>
        </w:rPr>
        <w:t xml:space="preserve">                 </w:t>
      </w:r>
      <w:r w:rsidR="00965F5C">
        <w:rPr>
          <w:rFonts w:ascii="Times New Roman" w:hAnsi="Times New Roman"/>
          <w:sz w:val="22"/>
          <w:szCs w:val="22"/>
        </w:rPr>
        <w:t xml:space="preserve">  </w:t>
      </w:r>
      <w:permStart w:id="381951164" w:edGrp="everyone"/>
      <w:r w:rsidR="00C038C1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C038C1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381951164"/>
    </w:p>
    <w:p w:rsidR="007701D6" w:rsidRP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bookmarkStart w:id="2" w:name="_GoBack"/>
      <w:bookmarkEnd w:id="2"/>
      <w:permStart w:id="159593381" w:edGrp="everyone"/>
      <w:permEnd w:id="159593381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vGh6wDwAB5H0s5BGG1cBJFWOKlQ=" w:salt="8znNV/I7PG++/ROiykDc2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D640C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0BC5"/>
    <w:rsid w:val="00BF42EE"/>
    <w:rsid w:val="00C038C1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D0E9-3207-4578-9A4C-4FAF4626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2630</Words>
  <Characters>15518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2018-05-07T13:56:00Z</dcterms:created>
  <dcterms:modified xsi:type="dcterms:W3CDTF">2018-05-07T13:56:00Z</dcterms:modified>
</cp:coreProperties>
</file>